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Key Stage 2 SATs Results 2019</w:t>
      </w:r>
    </w:p>
    <w:p>
      <w:pPr>
        <w:spacing w:after="240"/>
        <w:jc w:val="center"/>
        <w:rPr>
          <w:rFonts w:ascii="Comic Sans MS" w:hAnsi="Comic Sans MS"/>
        </w:rPr>
      </w:pPr>
    </w:p>
    <w:tbl>
      <w:tblPr>
        <w:tblW w:w="15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b/>
                <w:color w:val="0D0D0D"/>
                <w:sz w:val="24"/>
              </w:rPr>
            </w:pPr>
            <w:r>
              <w:rPr>
                <w:rFonts w:ascii="Comic Sans MS" w:hAnsi="Comic Sans MS"/>
                <w:b/>
                <w:color w:val="0D0D0D"/>
                <w:sz w:val="24"/>
              </w:rPr>
              <w:t>Subject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School % </w:t>
            </w:r>
          </w:p>
          <w:p>
            <w:pPr>
              <w:spacing w:before="60" w:after="60" w:line="240" w:lineRule="auto"/>
              <w:ind w:left="57" w:right="57"/>
              <w:jc w:val="center"/>
            </w:pPr>
            <w:r>
              <w:rPr>
                <w:rFonts w:ascii="Comic Sans MS" w:hAnsi="Comic Sans MS" w:cs="Arial"/>
                <w:b/>
                <w:sz w:val="24"/>
              </w:rPr>
              <w:t>At Expected Standard and Above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</w:pPr>
            <w:r>
              <w:rPr>
                <w:rFonts w:ascii="Comic Sans MS" w:hAnsi="Comic Sans MS" w:cs="Arial"/>
                <w:b/>
                <w:sz w:val="24"/>
              </w:rPr>
              <w:t>National % At Expected Standard and Above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School % </w:t>
            </w:r>
          </w:p>
          <w:p>
            <w:pPr>
              <w:spacing w:before="60" w:after="60" w:line="240" w:lineRule="auto"/>
              <w:ind w:right="57"/>
              <w:jc w:val="center"/>
            </w:pPr>
            <w:r>
              <w:rPr>
                <w:rFonts w:ascii="Comic Sans MS" w:hAnsi="Comic Sans MS" w:cs="Arial"/>
                <w:b/>
                <w:sz w:val="24"/>
              </w:rPr>
              <w:t>At Greater Depth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National % At Greater Depth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School Average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Progress Score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National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 xml:space="preserve">Average 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Progress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Score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School Average Scale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Scores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National Average Scale</w:t>
            </w:r>
          </w:p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Scores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  <w:t>Reading</w:t>
            </w:r>
          </w:p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67%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73%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+0.6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  <w:t>Grammar, Punctuation and Spelling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87%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36%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  <w:t>Mathematics</w:t>
            </w:r>
          </w:p>
          <w:p>
            <w:pPr>
              <w:spacing w:before="60" w:after="60" w:line="240" w:lineRule="auto"/>
              <w:ind w:right="57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79%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+1.4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right="57"/>
              <w:jc w:val="center"/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D0D0D"/>
                <w:sz w:val="26"/>
                <w:szCs w:val="26"/>
              </w:rPr>
              <w:t>Reading, Writing and Mathematics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</w:pPr>
            <w:r>
              <w:rPr>
                <w:rFonts w:ascii="Comic Sans MS" w:hAnsi="Comic Sans MS" w:cs="Arial"/>
                <w:b/>
                <w:bCs/>
                <w:sz w:val="26"/>
                <w:szCs w:val="26"/>
              </w:rPr>
              <w:t xml:space="preserve">English Writing 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(Teacher Assessment)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73%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78%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+1.3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before="60" w:after="60" w:line="240" w:lineRule="auto"/>
              <w:ind w:left="57" w:right="57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</w:p>
        </w:tc>
      </w:tr>
    </w:tbl>
    <w:p/>
    <w:sectPr>
      <w:headerReference w:type="default" r:id="rId7"/>
      <w:footerReference w:type="default" r:id="rId8"/>
      <w:headerReference w:type="first" r:id="rId9"/>
      <w:pgSz w:w="16838" w:h="11906" w:orient="landscape"/>
      <w:pgMar w:top="1077" w:right="851" w:bottom="1077" w:left="992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  <w:r>
      <w:rPr>
        <w:noProof/>
      </w:rPr>
      <w:drawing>
        <wp:inline distT="0" distB="0" distL="0" distR="0">
          <wp:extent cx="739136" cy="739136"/>
          <wp:effectExtent l="0" t="0" r="3814" b="3814"/>
          <wp:docPr id="1" name="Picture 1" descr="Whingate Primary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36" cy="7391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8F"/>
    <w:multiLevelType w:val="multilevel"/>
    <w:tmpl w:val="992A7C52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" w15:restartNumberingAfterBreak="0">
    <w:nsid w:val="0A0109FD"/>
    <w:multiLevelType w:val="multilevel"/>
    <w:tmpl w:val="E644698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407579"/>
    <w:multiLevelType w:val="multilevel"/>
    <w:tmpl w:val="D90C38F0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134B54D4"/>
    <w:multiLevelType w:val="multilevel"/>
    <w:tmpl w:val="30128F6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F06BBA"/>
    <w:multiLevelType w:val="multilevel"/>
    <w:tmpl w:val="328CA1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080455"/>
    <w:multiLevelType w:val="multilevel"/>
    <w:tmpl w:val="AEA8F576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6" w15:restartNumberingAfterBreak="0">
    <w:nsid w:val="16DC25B6"/>
    <w:multiLevelType w:val="multilevel"/>
    <w:tmpl w:val="E10ABAB2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B8075F"/>
    <w:multiLevelType w:val="multilevel"/>
    <w:tmpl w:val="FDE4DD7A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CB6EAA"/>
    <w:multiLevelType w:val="multilevel"/>
    <w:tmpl w:val="72E8C9AC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9" w15:restartNumberingAfterBreak="0">
    <w:nsid w:val="2E8270DB"/>
    <w:multiLevelType w:val="multilevel"/>
    <w:tmpl w:val="B9EAB57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243C13"/>
    <w:multiLevelType w:val="multilevel"/>
    <w:tmpl w:val="A81239A0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94166A"/>
    <w:multiLevelType w:val="multilevel"/>
    <w:tmpl w:val="4A1A2360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346C09"/>
    <w:multiLevelType w:val="multilevel"/>
    <w:tmpl w:val="E8A0CDB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6937D64"/>
    <w:multiLevelType w:val="multilevel"/>
    <w:tmpl w:val="9184E90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051B1E"/>
    <w:multiLevelType w:val="multilevel"/>
    <w:tmpl w:val="E258EC8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696434"/>
    <w:multiLevelType w:val="multilevel"/>
    <w:tmpl w:val="EC60BC1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E421CC"/>
    <w:multiLevelType w:val="multilevel"/>
    <w:tmpl w:val="70B64F3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E6C0788"/>
    <w:multiLevelType w:val="multilevel"/>
    <w:tmpl w:val="3B4E8A0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3F12C47"/>
    <w:multiLevelType w:val="multilevel"/>
    <w:tmpl w:val="C2629D6E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8B743A"/>
    <w:multiLevelType w:val="multilevel"/>
    <w:tmpl w:val="323474E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C144E5"/>
    <w:multiLevelType w:val="multilevel"/>
    <w:tmpl w:val="A7366E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FE25E91"/>
    <w:multiLevelType w:val="multilevel"/>
    <w:tmpl w:val="731C5C1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27296586">
    <w:abstractNumId w:val="11"/>
  </w:num>
  <w:num w:numId="2" w16cid:durableId="1956446781">
    <w:abstractNumId w:val="9"/>
  </w:num>
  <w:num w:numId="3" w16cid:durableId="1749885556">
    <w:abstractNumId w:val="1"/>
  </w:num>
  <w:num w:numId="4" w16cid:durableId="1901013140">
    <w:abstractNumId w:val="15"/>
  </w:num>
  <w:num w:numId="5" w16cid:durableId="1390497972">
    <w:abstractNumId w:val="20"/>
  </w:num>
  <w:num w:numId="6" w16cid:durableId="2049138690">
    <w:abstractNumId w:val="13"/>
  </w:num>
  <w:num w:numId="7" w16cid:durableId="147787773">
    <w:abstractNumId w:val="18"/>
  </w:num>
  <w:num w:numId="8" w16cid:durableId="1811169935">
    <w:abstractNumId w:val="3"/>
  </w:num>
  <w:num w:numId="9" w16cid:durableId="341129125">
    <w:abstractNumId w:val="10"/>
  </w:num>
  <w:num w:numId="10" w16cid:durableId="774981385">
    <w:abstractNumId w:val="14"/>
  </w:num>
  <w:num w:numId="11" w16cid:durableId="1789078308">
    <w:abstractNumId w:val="16"/>
  </w:num>
  <w:num w:numId="12" w16cid:durableId="426850080">
    <w:abstractNumId w:val="12"/>
  </w:num>
  <w:num w:numId="13" w16cid:durableId="1603026880">
    <w:abstractNumId w:val="4"/>
  </w:num>
  <w:num w:numId="14" w16cid:durableId="59525414">
    <w:abstractNumId w:val="19"/>
  </w:num>
  <w:num w:numId="15" w16cid:durableId="1801340144">
    <w:abstractNumId w:val="17"/>
  </w:num>
  <w:num w:numId="16" w16cid:durableId="1491292692">
    <w:abstractNumId w:val="21"/>
  </w:num>
  <w:num w:numId="17" w16cid:durableId="1846825212">
    <w:abstractNumId w:val="0"/>
  </w:num>
  <w:num w:numId="18" w16cid:durableId="144317932">
    <w:abstractNumId w:val="7"/>
  </w:num>
  <w:num w:numId="19" w16cid:durableId="718939755">
    <w:abstractNumId w:val="5"/>
  </w:num>
  <w:num w:numId="20" w16cid:durableId="1042438400">
    <w:abstractNumId w:val="8"/>
  </w:num>
  <w:num w:numId="21" w16cid:durableId="2031908825">
    <w:abstractNumId w:val="6"/>
  </w:num>
  <w:num w:numId="22" w16cid:durableId="137129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75C22-182D-43A9-AB1D-AACC700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5">
    <w:name w:val="WW_OutlineListStyle_15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18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17"/>
      </w:numPr>
      <w:tabs>
        <w:tab w:val="left" w:pos="-16726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21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19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20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22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numbering" w:customStyle="1" w:styleId="WWOutlineListStyle14">
    <w:name w:val="WW_OutlineListStyle_14"/>
    <w:basedOn w:val="NoList"/>
    <w:pPr>
      <w:numPr>
        <w:numId w:val="2"/>
      </w:numPr>
    </w:pPr>
  </w:style>
  <w:style w:type="numbering" w:customStyle="1" w:styleId="WWOutlineListStyle13">
    <w:name w:val="WW_OutlineListStyle_13"/>
    <w:basedOn w:val="NoList"/>
    <w:pPr>
      <w:numPr>
        <w:numId w:val="3"/>
      </w:numPr>
    </w:pPr>
  </w:style>
  <w:style w:type="numbering" w:customStyle="1" w:styleId="WWOutlineListStyle12">
    <w:name w:val="WW_OutlineListStyle_12"/>
    <w:basedOn w:val="NoList"/>
    <w:pPr>
      <w:numPr>
        <w:numId w:val="4"/>
      </w:numPr>
    </w:pPr>
  </w:style>
  <w:style w:type="numbering" w:customStyle="1" w:styleId="WWOutlineListStyle11">
    <w:name w:val="WW_OutlineListStyle_11"/>
    <w:basedOn w:val="NoList"/>
    <w:pPr>
      <w:numPr>
        <w:numId w:val="5"/>
      </w:numPr>
    </w:pPr>
  </w:style>
  <w:style w:type="numbering" w:customStyle="1" w:styleId="WWOutlineListStyle10">
    <w:name w:val="WW_OutlineListStyle_10"/>
    <w:basedOn w:val="NoList"/>
    <w:pPr>
      <w:numPr>
        <w:numId w:val="6"/>
      </w:numPr>
    </w:pPr>
  </w:style>
  <w:style w:type="numbering" w:customStyle="1" w:styleId="WWOutlineListStyle9">
    <w:name w:val="WW_OutlineListStyle_9"/>
    <w:basedOn w:val="NoList"/>
    <w:pPr>
      <w:numPr>
        <w:numId w:val="7"/>
      </w:numPr>
    </w:pPr>
  </w:style>
  <w:style w:type="numbering" w:customStyle="1" w:styleId="WWOutlineListStyle8">
    <w:name w:val="WW_OutlineListStyle_8"/>
    <w:basedOn w:val="NoList"/>
    <w:pPr>
      <w:numPr>
        <w:numId w:val="8"/>
      </w:numPr>
    </w:pPr>
  </w:style>
  <w:style w:type="numbering" w:customStyle="1" w:styleId="WWOutlineListStyle7">
    <w:name w:val="WW_OutlineListStyle_7"/>
    <w:basedOn w:val="NoList"/>
    <w:pPr>
      <w:numPr>
        <w:numId w:val="9"/>
      </w:numPr>
    </w:pPr>
  </w:style>
  <w:style w:type="numbering" w:customStyle="1" w:styleId="WWOutlineListStyle6">
    <w:name w:val="WW_OutlineListStyle_6"/>
    <w:basedOn w:val="NoList"/>
    <w:pPr>
      <w:numPr>
        <w:numId w:val="10"/>
      </w:numPr>
    </w:pPr>
  </w:style>
  <w:style w:type="numbering" w:customStyle="1" w:styleId="WWOutlineListStyle5">
    <w:name w:val="WW_OutlineListStyle_5"/>
    <w:basedOn w:val="NoList"/>
    <w:pPr>
      <w:numPr>
        <w:numId w:val="11"/>
      </w:numPr>
    </w:pPr>
  </w:style>
  <w:style w:type="numbering" w:customStyle="1" w:styleId="WWOutlineListStyle4">
    <w:name w:val="WW_OutlineListStyle_4"/>
    <w:basedOn w:val="NoList"/>
    <w:pPr>
      <w:numPr>
        <w:numId w:val="12"/>
      </w:numPr>
    </w:pPr>
  </w:style>
  <w:style w:type="numbering" w:customStyle="1" w:styleId="WWOutlineListStyle3">
    <w:name w:val="WW_OutlineListStyle_3"/>
    <w:basedOn w:val="NoList"/>
    <w:pPr>
      <w:numPr>
        <w:numId w:val="13"/>
      </w:numPr>
    </w:pPr>
  </w:style>
  <w:style w:type="numbering" w:customStyle="1" w:styleId="WWOutlineListStyle2">
    <w:name w:val="WW_OutlineListStyle_2"/>
    <w:basedOn w:val="NoList"/>
    <w:pPr>
      <w:numPr>
        <w:numId w:val="14"/>
      </w:numPr>
    </w:pPr>
  </w:style>
  <w:style w:type="numbering" w:customStyle="1" w:styleId="WWOutlineListStyle1">
    <w:name w:val="WW_OutlineListStyle_1"/>
    <w:basedOn w:val="NoList"/>
    <w:pPr>
      <w:numPr>
        <w:numId w:val="15"/>
      </w:numPr>
    </w:pPr>
  </w:style>
  <w:style w:type="numbering" w:customStyle="1" w:styleId="WWOutlineListStyle">
    <w:name w:val="WW_OutlineListStyle"/>
    <w:basedOn w:val="NoList"/>
    <w:pPr>
      <w:numPr>
        <w:numId w:val="16"/>
      </w:numPr>
    </w:pPr>
  </w:style>
  <w:style w:type="numbering" w:customStyle="1" w:styleId="LFO3">
    <w:name w:val="LFO3"/>
    <w:basedOn w:val="NoList"/>
    <w:pPr>
      <w:numPr>
        <w:numId w:val="17"/>
      </w:numPr>
    </w:pPr>
  </w:style>
  <w:style w:type="numbering" w:customStyle="1" w:styleId="LFO4">
    <w:name w:val="LFO4"/>
    <w:basedOn w:val="NoList"/>
    <w:pPr>
      <w:numPr>
        <w:numId w:val="18"/>
      </w:numPr>
    </w:pPr>
  </w:style>
  <w:style w:type="numbering" w:customStyle="1" w:styleId="LFO5">
    <w:name w:val="LFO5"/>
    <w:basedOn w:val="NoList"/>
    <w:pPr>
      <w:numPr>
        <w:numId w:val="19"/>
      </w:numPr>
    </w:pPr>
  </w:style>
  <w:style w:type="numbering" w:customStyle="1" w:styleId="LFO11">
    <w:name w:val="LFO11"/>
    <w:basedOn w:val="NoList"/>
    <w:pPr>
      <w:numPr>
        <w:numId w:val="20"/>
      </w:numPr>
    </w:pPr>
  </w:style>
  <w:style w:type="numbering" w:customStyle="1" w:styleId="LFO12">
    <w:name w:val="LFO12"/>
    <w:basedOn w:val="NoList"/>
    <w:pPr>
      <w:numPr>
        <w:numId w:val="21"/>
      </w:numPr>
    </w:pPr>
  </w:style>
  <w:style w:type="numbering" w:customStyle="1" w:styleId="LFO13">
    <w:name w:val="LFO13"/>
    <w:basedOn w:val="NoList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comparative report template</dc:title>
  <dc:creator>Publishing.TEAM@education.gsi.gov.uk</dc:creator>
  <dc:description>DfE-SD-V1.4</dc:description>
  <cp:lastModifiedBy>Beverley Atkins</cp:lastModifiedBy>
  <cp:revision>2</cp:revision>
  <cp:lastPrinted>2018-07-12T07:50:00Z</cp:lastPrinted>
  <dcterms:created xsi:type="dcterms:W3CDTF">2022-11-11T12:40:00Z</dcterms:created>
  <dcterms:modified xsi:type="dcterms:W3CDTF">2022-11-11T12:40:00Z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0x01010061B827D2B2699C41B3D164C1E82366EB0400E184A83ADB9E1044922278051EC33A2C</vt:lpwstr>
  </property>
  <property fmtid="{D5CDD505-2E9C-101B-9397-08002B2CF9AE}" pid="4" name="_dlc_DocIdItemGuid">
    <vt:lpwstr>9408c4c2-5a34-400d-9531-f9790c51e5d3</vt:lpwstr>
  </property>
  <property fmtid="{D5CDD505-2E9C-101B-9397-08002B2CF9AE}" pid="5" name="Rights:ProtectiveMarking">
    <vt:lpwstr>3;#Official|0884c477-2e62-47ea-b19c-5af6e91124c5</vt:lpwstr>
  </property>
  <property fmtid="{D5CDD505-2E9C-101B-9397-08002B2CF9AE}" pid="6" name="Function">
    <vt:lpwstr/>
  </property>
  <property fmtid="{D5CDD505-2E9C-101B-9397-08002B2CF9AE}" pid="7" name="Subject1">
    <vt:lpwstr/>
  </property>
  <property fmtid="{D5CDD505-2E9C-101B-9397-08002B2CF9AE}" pid="8" name="SiteType">
    <vt:lpwstr/>
  </property>
  <property fmtid="{D5CDD505-2E9C-101B-9397-08002B2CF9AE}" pid="9" name="OrganisationalUnit">
    <vt:lpwstr>1;#STA|66576609-c685-49b2-8de0-b806a5dc4789</vt:lpwstr>
  </property>
  <property fmtid="{D5CDD505-2E9C-101B-9397-08002B2CF9AE}" pid="10" name="Owner">
    <vt:lpwstr>2;#STA|c8765260-e14a-4cab-860c-a8f6854ef79c</vt:lpwstr>
  </property>
</Properties>
</file>